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94" w:rsidRPr="00697321" w:rsidRDefault="007C7CCB" w:rsidP="0069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21">
        <w:rPr>
          <w:rFonts w:ascii="Times New Roman" w:hAnsi="Times New Roman" w:cs="Times New Roman"/>
          <w:b/>
          <w:sz w:val="28"/>
          <w:szCs w:val="28"/>
        </w:rPr>
        <w:t xml:space="preserve">AIESEC Canada </w:t>
      </w:r>
      <w:r w:rsidR="004E3419" w:rsidRPr="00697321">
        <w:rPr>
          <w:rFonts w:ascii="Times New Roman" w:hAnsi="Times New Roman" w:cs="Times New Roman"/>
          <w:b/>
          <w:sz w:val="28"/>
          <w:szCs w:val="28"/>
        </w:rPr>
        <w:t xml:space="preserve">Membership Code </w:t>
      </w:r>
      <w:r w:rsidRPr="00697321">
        <w:rPr>
          <w:rFonts w:ascii="Times New Roman" w:hAnsi="Times New Roman" w:cs="Times New Roman"/>
          <w:b/>
          <w:sz w:val="28"/>
          <w:szCs w:val="28"/>
        </w:rPr>
        <w:t>Appeals Process</w:t>
      </w:r>
      <w:r w:rsidR="000C33D2" w:rsidRPr="00697321">
        <w:rPr>
          <w:rFonts w:ascii="Times New Roman" w:hAnsi="Times New Roman" w:cs="Times New Roman"/>
          <w:b/>
          <w:sz w:val="28"/>
          <w:szCs w:val="28"/>
        </w:rPr>
        <w:t xml:space="preserve"> Proposal</w:t>
      </w:r>
    </w:p>
    <w:p w:rsidR="007C7CCB" w:rsidRPr="00697321" w:rsidRDefault="007C7CCB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Seeing as there is no current appeals process to decisions regarding the membership code, the Membership subcommittee proposes the following protocol</w:t>
      </w:r>
      <w:r w:rsidR="004E3419" w:rsidRPr="00697321">
        <w:rPr>
          <w:rFonts w:ascii="Times New Roman" w:hAnsi="Times New Roman" w:cs="Times New Roman"/>
          <w:sz w:val="24"/>
          <w:szCs w:val="24"/>
        </w:rPr>
        <w:t xml:space="preserve"> in an effort to increase transparency. </w:t>
      </w:r>
    </w:p>
    <w:p w:rsidR="007C7CCB" w:rsidRPr="00697321" w:rsidRDefault="007C7CCB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To officially appeal an MSC decision,</w:t>
      </w:r>
      <w:r w:rsidR="004E3419" w:rsidRPr="00697321">
        <w:rPr>
          <w:rFonts w:ascii="Times New Roman" w:hAnsi="Times New Roman" w:cs="Times New Roman"/>
          <w:sz w:val="24"/>
          <w:szCs w:val="24"/>
        </w:rPr>
        <w:t xml:space="preserve"> the LCP of the LC in question must fill out the form below. Only </w:t>
      </w:r>
      <w:r w:rsidRPr="00697321">
        <w:rPr>
          <w:rFonts w:ascii="Times New Roman" w:hAnsi="Times New Roman" w:cs="Times New Roman"/>
          <w:sz w:val="24"/>
          <w:szCs w:val="24"/>
        </w:rPr>
        <w:t>the local commit</w:t>
      </w:r>
      <w:r w:rsidR="004E3419" w:rsidRPr="00697321">
        <w:rPr>
          <w:rFonts w:ascii="Times New Roman" w:hAnsi="Times New Roman" w:cs="Times New Roman"/>
          <w:sz w:val="24"/>
          <w:szCs w:val="24"/>
        </w:rPr>
        <w:t xml:space="preserve">tee in question can appeal </w:t>
      </w:r>
      <w:r w:rsidRPr="00697321">
        <w:rPr>
          <w:rFonts w:ascii="Times New Roman" w:hAnsi="Times New Roman" w:cs="Times New Roman"/>
          <w:sz w:val="24"/>
          <w:szCs w:val="24"/>
        </w:rPr>
        <w:t>decisions regarding their own entity. Appeals can only be made regarding the reversal of a failed membership code standard</w:t>
      </w:r>
      <w:r w:rsidR="00C4041C" w:rsidRPr="00697321">
        <w:rPr>
          <w:rFonts w:ascii="Times New Roman" w:hAnsi="Times New Roman" w:cs="Times New Roman"/>
          <w:sz w:val="24"/>
          <w:szCs w:val="24"/>
        </w:rPr>
        <w:t xml:space="preserve"> or substandard</w:t>
      </w:r>
      <w:r w:rsidRPr="00697321">
        <w:rPr>
          <w:rFonts w:ascii="Times New Roman" w:hAnsi="Times New Roman" w:cs="Times New Roman"/>
          <w:sz w:val="24"/>
          <w:szCs w:val="24"/>
        </w:rPr>
        <w:t xml:space="preserve"> if the LC in question can prove one of the following:</w:t>
      </w:r>
    </w:p>
    <w:p w:rsidR="00C4041C" w:rsidRPr="00697321" w:rsidRDefault="007C7CCB" w:rsidP="00C40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Miscommunication</w:t>
      </w:r>
      <w:r w:rsidR="00C4041C" w:rsidRPr="0069732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4041C" w:rsidRPr="00697321">
        <w:rPr>
          <w:rFonts w:ascii="Times New Roman" w:hAnsi="Times New Roman" w:cs="Times New Roman"/>
          <w:sz w:val="24"/>
          <w:szCs w:val="24"/>
        </w:rPr>
        <w:t xml:space="preserve"> from the</w:t>
      </w:r>
      <w:r w:rsidRPr="00697321">
        <w:rPr>
          <w:rFonts w:ascii="Times New Roman" w:hAnsi="Times New Roman" w:cs="Times New Roman"/>
          <w:sz w:val="24"/>
          <w:szCs w:val="24"/>
        </w:rPr>
        <w:t xml:space="preserve"> MS</w:t>
      </w:r>
      <w:r w:rsidR="0024250B" w:rsidRPr="00697321">
        <w:rPr>
          <w:rFonts w:ascii="Times New Roman" w:hAnsi="Times New Roman" w:cs="Times New Roman"/>
          <w:sz w:val="24"/>
          <w:szCs w:val="24"/>
        </w:rPr>
        <w:t>C</w:t>
      </w:r>
      <w:r w:rsidRPr="00697321">
        <w:rPr>
          <w:rFonts w:ascii="Times New Roman" w:hAnsi="Times New Roman" w:cs="Times New Roman"/>
          <w:sz w:val="24"/>
          <w:szCs w:val="24"/>
        </w:rPr>
        <w:t xml:space="preserve"> to the entity in question</w:t>
      </w:r>
    </w:p>
    <w:p w:rsidR="007C7CCB" w:rsidRPr="00697321" w:rsidRDefault="007C7CCB" w:rsidP="000C3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Provide direct quotations from the membership code</w:t>
      </w:r>
      <w:r w:rsidR="004E3419" w:rsidRPr="00697321">
        <w:rPr>
          <w:rFonts w:ascii="Times New Roman" w:hAnsi="Times New Roman" w:cs="Times New Roman"/>
          <w:sz w:val="24"/>
          <w:szCs w:val="24"/>
        </w:rPr>
        <w:t xml:space="preserve"> of not failing said standard</w:t>
      </w:r>
    </w:p>
    <w:p w:rsidR="000C33D2" w:rsidRPr="00697321" w:rsidRDefault="000C33D2" w:rsidP="000C3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Provide evidence of technical issues not under control of the LC</w:t>
      </w:r>
    </w:p>
    <w:p w:rsidR="004E3419" w:rsidRPr="00697321" w:rsidRDefault="004E3419" w:rsidP="004E3419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Applications must also adhere to the following rules:</w:t>
      </w:r>
    </w:p>
    <w:p w:rsidR="004E3419" w:rsidRPr="00697321" w:rsidRDefault="004E3419" w:rsidP="004E3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 xml:space="preserve">Applications must be submitted </w:t>
      </w:r>
      <w:r w:rsidR="00333FD7" w:rsidRPr="00697321">
        <w:rPr>
          <w:rFonts w:ascii="Times New Roman" w:hAnsi="Times New Roman" w:cs="Times New Roman"/>
          <w:sz w:val="24"/>
          <w:szCs w:val="24"/>
        </w:rPr>
        <w:t>within</w:t>
      </w:r>
      <w:r w:rsidR="004A0AE4">
        <w:rPr>
          <w:rFonts w:ascii="Times New Roman" w:hAnsi="Times New Roman" w:cs="Times New Roman"/>
          <w:sz w:val="24"/>
          <w:szCs w:val="24"/>
        </w:rPr>
        <w:t xml:space="preserve"> one (1) week</w:t>
      </w:r>
      <w:r w:rsidRPr="00697321">
        <w:rPr>
          <w:rFonts w:ascii="Times New Roman" w:hAnsi="Times New Roman" w:cs="Times New Roman"/>
          <w:sz w:val="24"/>
          <w:szCs w:val="24"/>
        </w:rPr>
        <w:t xml:space="preserve"> </w:t>
      </w:r>
      <w:r w:rsidR="00333FD7" w:rsidRPr="00697321">
        <w:rPr>
          <w:rFonts w:ascii="Times New Roman" w:hAnsi="Times New Roman" w:cs="Times New Roman"/>
          <w:sz w:val="24"/>
          <w:szCs w:val="24"/>
        </w:rPr>
        <w:t xml:space="preserve">of </w:t>
      </w:r>
      <w:r w:rsidRPr="00697321">
        <w:rPr>
          <w:rFonts w:ascii="Times New Roman" w:hAnsi="Times New Roman" w:cs="Times New Roman"/>
          <w:sz w:val="24"/>
          <w:szCs w:val="24"/>
        </w:rPr>
        <w:t xml:space="preserve">the release of </w:t>
      </w:r>
      <w:r w:rsidR="0024250B" w:rsidRPr="00697321">
        <w:rPr>
          <w:rFonts w:ascii="Times New Roman" w:hAnsi="Times New Roman" w:cs="Times New Roman"/>
          <w:sz w:val="24"/>
          <w:szCs w:val="24"/>
        </w:rPr>
        <w:t>the membership report</w:t>
      </w:r>
    </w:p>
    <w:p w:rsidR="004E3419" w:rsidRPr="00697321" w:rsidRDefault="004E3419" w:rsidP="004E3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 xml:space="preserve">Applications and all related material must be submitted to the MSC at </w:t>
      </w:r>
      <w:hyperlink r:id="rId8" w:history="1">
        <w:r w:rsidRPr="00697321">
          <w:rPr>
            <w:rStyle w:val="Hyperlink"/>
            <w:rFonts w:ascii="Times New Roman" w:hAnsi="Times New Roman" w:cs="Times New Roman"/>
            <w:sz w:val="24"/>
            <w:szCs w:val="24"/>
          </w:rPr>
          <w:t>msc2013@aiesec.ca</w:t>
        </w:r>
      </w:hyperlink>
      <w:r w:rsidRPr="00697321">
        <w:rPr>
          <w:rFonts w:ascii="Times New Roman" w:hAnsi="Times New Roman" w:cs="Times New Roman"/>
          <w:sz w:val="24"/>
          <w:szCs w:val="24"/>
        </w:rPr>
        <w:t xml:space="preserve"> by the aforementioned date</w:t>
      </w:r>
      <w:r w:rsidR="00E51137" w:rsidRPr="00697321">
        <w:rPr>
          <w:rFonts w:ascii="Times New Roman" w:hAnsi="Times New Roman" w:cs="Times New Roman"/>
          <w:sz w:val="24"/>
          <w:szCs w:val="24"/>
        </w:rPr>
        <w:t>. The application must be submitted in a WORD doc file</w:t>
      </w:r>
      <w:r w:rsidR="000C33D2" w:rsidRPr="00697321">
        <w:rPr>
          <w:rFonts w:ascii="Times New Roman" w:hAnsi="Times New Roman" w:cs="Times New Roman"/>
          <w:sz w:val="24"/>
          <w:szCs w:val="24"/>
        </w:rPr>
        <w:t>, while the other documents can be submitted in other formats but must be in the same email</w:t>
      </w:r>
      <w:r w:rsidR="00E51137" w:rsidRPr="00697321">
        <w:rPr>
          <w:rFonts w:ascii="Times New Roman" w:hAnsi="Times New Roman" w:cs="Times New Roman"/>
          <w:sz w:val="24"/>
          <w:szCs w:val="24"/>
        </w:rPr>
        <w:t>.</w:t>
      </w:r>
    </w:p>
    <w:p w:rsidR="004E3419" w:rsidRPr="00697321" w:rsidRDefault="004E3419" w:rsidP="004E3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An application must be filled out for each membership standard in question.</w:t>
      </w:r>
    </w:p>
    <w:p w:rsidR="00697321" w:rsidRPr="00697321" w:rsidRDefault="00697321" w:rsidP="00697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 xml:space="preserve">Supporting documents </w:t>
      </w:r>
      <w:r w:rsidR="004E3419" w:rsidRPr="00697321">
        <w:rPr>
          <w:rFonts w:ascii="Times New Roman" w:hAnsi="Times New Roman" w:cs="Times New Roman"/>
          <w:sz w:val="24"/>
          <w:szCs w:val="24"/>
        </w:rPr>
        <w:t xml:space="preserve">not submitted by the submission deadline </w:t>
      </w:r>
      <w:r w:rsidR="0024250B" w:rsidRPr="00697321">
        <w:rPr>
          <w:rFonts w:ascii="Times New Roman" w:hAnsi="Times New Roman" w:cs="Times New Roman"/>
          <w:sz w:val="24"/>
          <w:szCs w:val="24"/>
        </w:rPr>
        <w:t>will be considered late</w:t>
      </w:r>
      <w:r w:rsidR="00216BEF" w:rsidRPr="00697321">
        <w:rPr>
          <w:rFonts w:ascii="Times New Roman" w:hAnsi="Times New Roman" w:cs="Times New Roman"/>
          <w:sz w:val="24"/>
          <w:szCs w:val="24"/>
        </w:rPr>
        <w:t>,</w:t>
      </w:r>
      <w:r w:rsidR="0024250B" w:rsidRPr="00697321">
        <w:rPr>
          <w:rFonts w:ascii="Times New Roman" w:hAnsi="Times New Roman" w:cs="Times New Roman"/>
          <w:sz w:val="24"/>
          <w:szCs w:val="24"/>
        </w:rPr>
        <w:t xml:space="preserve"> and are not grounds for appeal</w:t>
      </w:r>
      <w:r w:rsidR="004E3419" w:rsidRPr="00697321">
        <w:rPr>
          <w:rFonts w:ascii="Times New Roman" w:hAnsi="Times New Roman" w:cs="Times New Roman"/>
          <w:sz w:val="24"/>
          <w:szCs w:val="24"/>
        </w:rPr>
        <w:t>.</w:t>
      </w:r>
    </w:p>
    <w:p w:rsidR="0024250B" w:rsidRPr="00697321" w:rsidRDefault="004E3419" w:rsidP="004E3419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Once submitted the MSC will review the application and provide a ruling prior t</w:t>
      </w:r>
      <w:r w:rsidR="00E51137" w:rsidRPr="00697321">
        <w:rPr>
          <w:rFonts w:ascii="Times New Roman" w:hAnsi="Times New Roman" w:cs="Times New Roman"/>
          <w:sz w:val="24"/>
          <w:szCs w:val="24"/>
        </w:rPr>
        <w:t>o the next legislation session.</w:t>
      </w:r>
      <w:r w:rsidR="0024250B" w:rsidRPr="00697321">
        <w:rPr>
          <w:rFonts w:ascii="Times New Roman" w:hAnsi="Times New Roman" w:cs="Times New Roman"/>
          <w:sz w:val="24"/>
          <w:szCs w:val="24"/>
        </w:rPr>
        <w:t xml:space="preserve"> If additional information is required, the MSC will contact the LC in question. </w:t>
      </w:r>
    </w:p>
    <w:p w:rsidR="0024250B" w:rsidRPr="00697321" w:rsidRDefault="00E51137" w:rsidP="004E3419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 xml:space="preserve"> </w:t>
      </w:r>
      <w:r w:rsidR="0024250B" w:rsidRPr="00697321">
        <w:rPr>
          <w:rFonts w:ascii="Times New Roman" w:hAnsi="Times New Roman" w:cs="Times New Roman"/>
          <w:sz w:val="24"/>
          <w:szCs w:val="24"/>
        </w:rPr>
        <w:t>The decision</w:t>
      </w:r>
      <w:r w:rsidR="00697321" w:rsidRPr="00697321">
        <w:rPr>
          <w:rFonts w:ascii="Times New Roman" w:hAnsi="Times New Roman" w:cs="Times New Roman"/>
          <w:sz w:val="24"/>
          <w:szCs w:val="24"/>
        </w:rPr>
        <w:t xml:space="preserve"> will be made by a simple majority vote among t</w:t>
      </w:r>
      <w:r w:rsidR="0024250B" w:rsidRPr="00697321">
        <w:rPr>
          <w:rFonts w:ascii="Times New Roman" w:hAnsi="Times New Roman" w:cs="Times New Roman"/>
          <w:sz w:val="24"/>
          <w:szCs w:val="24"/>
        </w:rPr>
        <w:t>he Membership Subcommittee, which includes the 4 LCP representatives, the IAT Team Leader, the MCVP Organizational Development, and the Member Committee President of AIESEC Canada.</w:t>
      </w:r>
      <w:r w:rsidR="00697321" w:rsidRPr="00697321">
        <w:rPr>
          <w:rFonts w:ascii="Times New Roman" w:hAnsi="Times New Roman" w:cs="Times New Roman"/>
          <w:sz w:val="24"/>
          <w:szCs w:val="24"/>
        </w:rPr>
        <w:t xml:space="preserve"> </w:t>
      </w:r>
      <w:r w:rsidR="0024250B" w:rsidRPr="00697321">
        <w:rPr>
          <w:rFonts w:ascii="Times New Roman" w:hAnsi="Times New Roman" w:cs="Times New Roman"/>
          <w:sz w:val="24"/>
          <w:szCs w:val="24"/>
        </w:rPr>
        <w:t>The only exception being if one of the LCP representatives appeals a decision, in which case he/she will not be part of the decision making process.</w:t>
      </w:r>
    </w:p>
    <w:p w:rsidR="0024250B" w:rsidRPr="00697321" w:rsidRDefault="0024250B" w:rsidP="004E3419">
      <w:pPr>
        <w:rPr>
          <w:rFonts w:ascii="Times New Roman" w:hAnsi="Times New Roman" w:cs="Times New Roman"/>
          <w:sz w:val="24"/>
          <w:szCs w:val="24"/>
        </w:rPr>
      </w:pPr>
    </w:p>
    <w:p w:rsidR="004E3419" w:rsidRPr="00697321" w:rsidRDefault="004E3419" w:rsidP="004E3419">
      <w:pPr>
        <w:rPr>
          <w:rFonts w:ascii="Times New Roman" w:hAnsi="Times New Roman" w:cs="Times New Roman"/>
          <w:sz w:val="24"/>
          <w:szCs w:val="24"/>
        </w:rPr>
      </w:pPr>
      <w:r w:rsidRPr="00697321">
        <w:rPr>
          <w:rFonts w:ascii="Times New Roman" w:hAnsi="Times New Roman" w:cs="Times New Roman"/>
          <w:sz w:val="24"/>
          <w:szCs w:val="24"/>
        </w:rPr>
        <w:t>Appeals rulings wil</w:t>
      </w:r>
      <w:r w:rsidR="00E51137" w:rsidRPr="00697321">
        <w:rPr>
          <w:rFonts w:ascii="Times New Roman" w:hAnsi="Times New Roman" w:cs="Times New Roman"/>
          <w:sz w:val="24"/>
          <w:szCs w:val="24"/>
        </w:rPr>
        <w:t xml:space="preserve">l also be put in the MSC report, and will be </w:t>
      </w:r>
      <w:r w:rsidR="0024250B" w:rsidRPr="00697321">
        <w:rPr>
          <w:rFonts w:ascii="Times New Roman" w:hAnsi="Times New Roman" w:cs="Times New Roman"/>
          <w:sz w:val="24"/>
          <w:szCs w:val="24"/>
        </w:rPr>
        <w:t>presented at the next legislation session</w:t>
      </w:r>
      <w:r w:rsidR="00E51137" w:rsidRPr="00697321">
        <w:rPr>
          <w:rFonts w:ascii="Times New Roman" w:hAnsi="Times New Roman" w:cs="Times New Roman"/>
          <w:sz w:val="24"/>
          <w:szCs w:val="24"/>
        </w:rPr>
        <w:t>.</w:t>
      </w:r>
      <w:r w:rsidRPr="00697321">
        <w:rPr>
          <w:rFonts w:ascii="Times New Roman" w:hAnsi="Times New Roman" w:cs="Times New Roman"/>
          <w:sz w:val="24"/>
          <w:szCs w:val="24"/>
        </w:rPr>
        <w:t xml:space="preserve"> Once a decision is made following an official appeal it cannot be re-appealed.</w:t>
      </w:r>
    </w:p>
    <w:p w:rsidR="0032026A" w:rsidRPr="00697321" w:rsidRDefault="0032026A" w:rsidP="004E3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1668"/>
        <w:gridCol w:w="8221"/>
      </w:tblGrid>
      <w:tr w:rsidR="000C33D2" w:rsidRPr="00697321" w:rsidTr="003D291A">
        <w:trPr>
          <w:trHeight w:val="283"/>
        </w:trPr>
        <w:tc>
          <w:tcPr>
            <w:tcW w:w="9889" w:type="dxa"/>
            <w:gridSpan w:val="2"/>
            <w:shd w:val="clear" w:color="auto" w:fill="17365D" w:themeFill="text2" w:themeFillShade="BF"/>
          </w:tcPr>
          <w:p w:rsidR="000C33D2" w:rsidRPr="00697321" w:rsidRDefault="000C33D2" w:rsidP="000C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AIESEC Canada Membership Code Appeal Form</w:t>
            </w:r>
          </w:p>
        </w:tc>
      </w:tr>
      <w:tr w:rsidR="000C33D2" w:rsidRPr="00697321" w:rsidTr="00697321">
        <w:trPr>
          <w:trHeight w:val="283"/>
        </w:trPr>
        <w:tc>
          <w:tcPr>
            <w:tcW w:w="1668" w:type="dxa"/>
            <w:shd w:val="clear" w:color="auto" w:fill="8DB3E2" w:themeFill="text2" w:themeFillTint="66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Local Chapter</w:t>
            </w:r>
          </w:p>
        </w:tc>
        <w:tc>
          <w:tcPr>
            <w:tcW w:w="8221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D2" w:rsidRPr="00697321" w:rsidTr="00697321">
        <w:trPr>
          <w:trHeight w:val="295"/>
        </w:trPr>
        <w:tc>
          <w:tcPr>
            <w:tcW w:w="1668" w:type="dxa"/>
            <w:shd w:val="clear" w:color="auto" w:fill="8DB3E2" w:themeFill="text2" w:themeFillTint="66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Contact Name</w:t>
            </w:r>
          </w:p>
        </w:tc>
        <w:tc>
          <w:tcPr>
            <w:tcW w:w="8221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D2" w:rsidRPr="00697321" w:rsidTr="00697321">
        <w:trPr>
          <w:trHeight w:val="283"/>
        </w:trPr>
        <w:tc>
          <w:tcPr>
            <w:tcW w:w="1668" w:type="dxa"/>
            <w:shd w:val="clear" w:color="auto" w:fill="8DB3E2" w:themeFill="text2" w:themeFillTint="66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Position in LC</w:t>
            </w:r>
          </w:p>
        </w:tc>
        <w:tc>
          <w:tcPr>
            <w:tcW w:w="8221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D2" w:rsidRPr="00697321" w:rsidTr="00697321">
        <w:trPr>
          <w:trHeight w:val="283"/>
        </w:trPr>
        <w:tc>
          <w:tcPr>
            <w:tcW w:w="1668" w:type="dxa"/>
            <w:shd w:val="clear" w:color="auto" w:fill="8DB3E2" w:themeFill="text2" w:themeFillTint="66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8221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D2" w:rsidRPr="00697321" w:rsidTr="00697321">
        <w:trPr>
          <w:trHeight w:val="295"/>
        </w:trPr>
        <w:tc>
          <w:tcPr>
            <w:tcW w:w="1668" w:type="dxa"/>
            <w:shd w:val="clear" w:color="auto" w:fill="8DB3E2" w:themeFill="text2" w:themeFillTint="66"/>
          </w:tcPr>
          <w:p w:rsidR="000C33D2" w:rsidRPr="00697321" w:rsidRDefault="000C33D2" w:rsidP="000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8221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6A" w:rsidRPr="00697321" w:rsidRDefault="0032026A" w:rsidP="004E3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55" w:type="dxa"/>
        <w:tblLook w:val="04A0"/>
      </w:tblPr>
      <w:tblGrid>
        <w:gridCol w:w="9855"/>
      </w:tblGrid>
      <w:tr w:rsidR="000C33D2" w:rsidRPr="00697321" w:rsidTr="003D291A">
        <w:trPr>
          <w:trHeight w:val="284"/>
        </w:trPr>
        <w:tc>
          <w:tcPr>
            <w:tcW w:w="9855" w:type="dxa"/>
            <w:shd w:val="clear" w:color="auto" w:fill="8DB3E2" w:themeFill="text2" w:themeFillTint="66"/>
          </w:tcPr>
          <w:p w:rsidR="000C33D2" w:rsidRPr="00697321" w:rsidRDefault="000C33D2" w:rsidP="000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What standard’s decision are you appealing?</w:t>
            </w:r>
          </w:p>
        </w:tc>
      </w:tr>
      <w:tr w:rsidR="000C33D2" w:rsidRPr="00697321" w:rsidTr="000C33D2">
        <w:trPr>
          <w:trHeight w:val="312"/>
        </w:trPr>
        <w:tc>
          <w:tcPr>
            <w:tcW w:w="9855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i/>
                <w:sz w:val="24"/>
                <w:szCs w:val="24"/>
              </w:rPr>
              <w:t>Indicate one of the seven standards you are currently appealing</w:t>
            </w:r>
          </w:p>
        </w:tc>
      </w:tr>
      <w:tr w:rsidR="000C33D2" w:rsidRPr="00697321" w:rsidTr="003D291A">
        <w:trPr>
          <w:trHeight w:val="302"/>
        </w:trPr>
        <w:tc>
          <w:tcPr>
            <w:tcW w:w="9855" w:type="dxa"/>
            <w:shd w:val="clear" w:color="auto" w:fill="8DB3E2" w:themeFill="text2" w:themeFillTint="66"/>
          </w:tcPr>
          <w:p w:rsidR="000C33D2" w:rsidRPr="00697321" w:rsidRDefault="000C33D2" w:rsidP="000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Why do you believe you should have passed this standard?</w:t>
            </w:r>
          </w:p>
        </w:tc>
      </w:tr>
      <w:tr w:rsidR="000C33D2" w:rsidRPr="00697321" w:rsidTr="000C33D2">
        <w:trPr>
          <w:trHeight w:val="1439"/>
        </w:trPr>
        <w:tc>
          <w:tcPr>
            <w:tcW w:w="9855" w:type="dxa"/>
          </w:tcPr>
          <w:p w:rsidR="000C33D2" w:rsidRPr="00697321" w:rsidRDefault="000C33D2" w:rsidP="004E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i/>
                <w:sz w:val="24"/>
                <w:szCs w:val="24"/>
              </w:rPr>
              <w:t>Clearly indicate why you believe you should pass this standard</w:t>
            </w:r>
          </w:p>
        </w:tc>
      </w:tr>
      <w:tr w:rsidR="000C33D2" w:rsidRPr="00697321" w:rsidTr="003D291A">
        <w:trPr>
          <w:trHeight w:val="144"/>
        </w:trPr>
        <w:tc>
          <w:tcPr>
            <w:tcW w:w="9855" w:type="dxa"/>
            <w:shd w:val="clear" w:color="auto" w:fill="8DB3E2" w:themeFill="text2" w:themeFillTint="66"/>
          </w:tcPr>
          <w:p w:rsidR="000C33D2" w:rsidRPr="00697321" w:rsidRDefault="000C33D2" w:rsidP="000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Is there anything else we should consider?</w:t>
            </w:r>
          </w:p>
        </w:tc>
      </w:tr>
      <w:tr w:rsidR="000C33D2" w:rsidRPr="00697321" w:rsidTr="000C33D2">
        <w:trPr>
          <w:trHeight w:val="1980"/>
        </w:trPr>
        <w:tc>
          <w:tcPr>
            <w:tcW w:w="9855" w:type="dxa"/>
          </w:tcPr>
          <w:p w:rsidR="000C33D2" w:rsidRPr="00697321" w:rsidRDefault="003D291A" w:rsidP="004E3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i/>
                <w:sz w:val="24"/>
                <w:szCs w:val="24"/>
              </w:rPr>
              <w:t>Any additional information we should take into account?</w:t>
            </w:r>
          </w:p>
        </w:tc>
      </w:tr>
    </w:tbl>
    <w:p w:rsidR="00343ADA" w:rsidRPr="00697321" w:rsidRDefault="00343ADA" w:rsidP="004E3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291A" w:rsidRPr="00697321" w:rsidTr="003D291A">
        <w:tc>
          <w:tcPr>
            <w:tcW w:w="9576" w:type="dxa"/>
            <w:shd w:val="clear" w:color="auto" w:fill="17365D" w:themeFill="text2" w:themeFillShade="BF"/>
          </w:tcPr>
          <w:p w:rsidR="003D291A" w:rsidRPr="00697321" w:rsidRDefault="003D291A" w:rsidP="003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**For MSC Use Only**</w:t>
            </w:r>
          </w:p>
        </w:tc>
      </w:tr>
      <w:tr w:rsidR="003D291A" w:rsidRPr="00697321" w:rsidTr="00134C53">
        <w:tc>
          <w:tcPr>
            <w:tcW w:w="9576" w:type="dxa"/>
            <w:shd w:val="clear" w:color="auto" w:fill="8DB3E2" w:themeFill="text2" w:themeFillTint="66"/>
          </w:tcPr>
          <w:p w:rsidR="003D291A" w:rsidRPr="00697321" w:rsidRDefault="003D291A" w:rsidP="003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Membership Subcommittee Ruling</w:t>
            </w:r>
          </w:p>
        </w:tc>
      </w:tr>
      <w:tr w:rsidR="003D291A" w:rsidRPr="00697321" w:rsidTr="003D291A">
        <w:tc>
          <w:tcPr>
            <w:tcW w:w="9576" w:type="dxa"/>
            <w:shd w:val="clear" w:color="auto" w:fill="FFFFFF" w:themeFill="background1"/>
          </w:tcPr>
          <w:p w:rsidR="003D291A" w:rsidRPr="00697321" w:rsidRDefault="003D291A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1A" w:rsidRPr="00697321" w:rsidTr="003D291A">
        <w:tc>
          <w:tcPr>
            <w:tcW w:w="9576" w:type="dxa"/>
            <w:shd w:val="clear" w:color="auto" w:fill="8DB3E2" w:themeFill="text2" w:themeFillTint="66"/>
          </w:tcPr>
          <w:p w:rsidR="003D291A" w:rsidRPr="00697321" w:rsidRDefault="003D291A" w:rsidP="003D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1"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  <w:tr w:rsidR="003D291A" w:rsidRPr="00697321" w:rsidTr="003D291A">
        <w:trPr>
          <w:trHeight w:val="1487"/>
        </w:trPr>
        <w:tc>
          <w:tcPr>
            <w:tcW w:w="9576" w:type="dxa"/>
          </w:tcPr>
          <w:p w:rsidR="003D291A" w:rsidRPr="00697321" w:rsidRDefault="003D291A" w:rsidP="004E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DA" w:rsidRPr="00697321" w:rsidRDefault="00343ADA" w:rsidP="004E3419">
      <w:pPr>
        <w:rPr>
          <w:rFonts w:ascii="Times New Roman" w:hAnsi="Times New Roman" w:cs="Times New Roman"/>
          <w:sz w:val="24"/>
          <w:szCs w:val="24"/>
        </w:rPr>
      </w:pPr>
    </w:p>
    <w:p w:rsidR="00343ADA" w:rsidRPr="00697321" w:rsidRDefault="00343ADA" w:rsidP="004E3419">
      <w:pPr>
        <w:rPr>
          <w:rFonts w:ascii="Times New Roman" w:hAnsi="Times New Roman" w:cs="Times New Roman"/>
          <w:sz w:val="24"/>
          <w:szCs w:val="24"/>
        </w:rPr>
      </w:pPr>
    </w:p>
    <w:p w:rsidR="0032026A" w:rsidRPr="00697321" w:rsidRDefault="0032026A" w:rsidP="004E3419">
      <w:pPr>
        <w:rPr>
          <w:rFonts w:ascii="Times New Roman" w:hAnsi="Times New Roman" w:cs="Times New Roman"/>
          <w:sz w:val="24"/>
          <w:szCs w:val="24"/>
        </w:rPr>
      </w:pPr>
    </w:p>
    <w:sectPr w:rsidR="0032026A" w:rsidRPr="00697321" w:rsidSect="009F519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57" w:rsidRDefault="00025A57" w:rsidP="00DD5107">
      <w:pPr>
        <w:spacing w:after="0" w:line="240" w:lineRule="auto"/>
      </w:pPr>
      <w:r>
        <w:separator/>
      </w:r>
    </w:p>
  </w:endnote>
  <w:endnote w:type="continuationSeparator" w:id="0">
    <w:p w:rsidR="00025A57" w:rsidRDefault="00025A57" w:rsidP="00DD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57" w:rsidRDefault="00025A57" w:rsidP="00DD5107">
      <w:pPr>
        <w:spacing w:after="0" w:line="240" w:lineRule="auto"/>
      </w:pPr>
      <w:r>
        <w:separator/>
      </w:r>
    </w:p>
  </w:footnote>
  <w:footnote w:type="continuationSeparator" w:id="0">
    <w:p w:rsidR="00025A57" w:rsidRDefault="00025A57" w:rsidP="00DD5107">
      <w:pPr>
        <w:spacing w:after="0" w:line="240" w:lineRule="auto"/>
      </w:pPr>
      <w:r>
        <w:continuationSeparator/>
      </w:r>
    </w:p>
  </w:footnote>
  <w:footnote w:id="1">
    <w:p w:rsidR="00C4041C" w:rsidRPr="00697321" w:rsidRDefault="00C4041C">
      <w:pPr>
        <w:pStyle w:val="FootnoteText"/>
      </w:pPr>
      <w:r w:rsidRPr="00697321">
        <w:rPr>
          <w:rStyle w:val="FootnoteReference"/>
        </w:rPr>
        <w:footnoteRef/>
      </w:r>
      <w:r w:rsidRPr="00697321">
        <w:t xml:space="preserve"> Where </w:t>
      </w:r>
      <w:r w:rsidRPr="00697321">
        <w:rPr>
          <w:i/>
        </w:rPr>
        <w:t>miscommunication</w:t>
      </w:r>
      <w:r w:rsidRPr="00697321">
        <w:t xml:space="preserve"> refers to either incorrect information being provided by a representative of the MSC, or a lack of response from the MSC to any queries made up to 48 hours before the submission deadline</w:t>
      </w:r>
      <w:r w:rsidR="0024250B" w:rsidRPr="00697321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D2" w:rsidRDefault="000C33D2">
    <w:pPr>
      <w:pStyle w:val="Header"/>
    </w:pPr>
    <w:r w:rsidRPr="000C33D2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-9979</wp:posOffset>
          </wp:positionH>
          <wp:positionV relativeFrom="page">
            <wp:posOffset>319314</wp:posOffset>
          </wp:positionV>
          <wp:extent cx="6529070" cy="478972"/>
          <wp:effectExtent l="1905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47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018"/>
    <w:multiLevelType w:val="hybridMultilevel"/>
    <w:tmpl w:val="A5C03A20"/>
    <w:lvl w:ilvl="0" w:tplc="0D7C8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5A9C"/>
    <w:multiLevelType w:val="hybridMultilevel"/>
    <w:tmpl w:val="A8CE6B0E"/>
    <w:lvl w:ilvl="0" w:tplc="DCEE4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CCB"/>
    <w:rsid w:val="00025A57"/>
    <w:rsid w:val="000C33D2"/>
    <w:rsid w:val="000D4F0A"/>
    <w:rsid w:val="00216BEF"/>
    <w:rsid w:val="0024250B"/>
    <w:rsid w:val="0032026A"/>
    <w:rsid w:val="00333FD7"/>
    <w:rsid w:val="00343ADA"/>
    <w:rsid w:val="003B0248"/>
    <w:rsid w:val="003D291A"/>
    <w:rsid w:val="004A0AE4"/>
    <w:rsid w:val="004E3419"/>
    <w:rsid w:val="005D188F"/>
    <w:rsid w:val="00697321"/>
    <w:rsid w:val="0074664C"/>
    <w:rsid w:val="007C7CCB"/>
    <w:rsid w:val="0081182B"/>
    <w:rsid w:val="009D5FBF"/>
    <w:rsid w:val="009F5194"/>
    <w:rsid w:val="00A537AB"/>
    <w:rsid w:val="00A9115B"/>
    <w:rsid w:val="00B7059D"/>
    <w:rsid w:val="00C4041C"/>
    <w:rsid w:val="00C86694"/>
    <w:rsid w:val="00CD2611"/>
    <w:rsid w:val="00D9495D"/>
    <w:rsid w:val="00DD5107"/>
    <w:rsid w:val="00E51137"/>
    <w:rsid w:val="00E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07"/>
  </w:style>
  <w:style w:type="paragraph" w:styleId="Footer">
    <w:name w:val="footer"/>
    <w:basedOn w:val="Normal"/>
    <w:link w:val="FooterChar"/>
    <w:uiPriority w:val="99"/>
    <w:unhideWhenUsed/>
    <w:rsid w:val="00DD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07"/>
  </w:style>
  <w:style w:type="table" w:styleId="TableGrid">
    <w:name w:val="Table Grid"/>
    <w:basedOn w:val="TableNormal"/>
    <w:uiPriority w:val="59"/>
    <w:rsid w:val="000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40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0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4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3F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F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F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07"/>
  </w:style>
  <w:style w:type="paragraph" w:styleId="Footer">
    <w:name w:val="footer"/>
    <w:basedOn w:val="Normal"/>
    <w:link w:val="FooterChar"/>
    <w:uiPriority w:val="99"/>
    <w:unhideWhenUsed/>
    <w:rsid w:val="00DD51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2013@aies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388C-1FED-42C2-9180-C0CB174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</dc:creator>
  <cp:lastModifiedBy>Danial</cp:lastModifiedBy>
  <cp:revision>3</cp:revision>
  <dcterms:created xsi:type="dcterms:W3CDTF">2013-03-07T21:48:00Z</dcterms:created>
  <dcterms:modified xsi:type="dcterms:W3CDTF">2013-03-09T23:14:00Z</dcterms:modified>
</cp:coreProperties>
</file>